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E0" w:rsidRDefault="000571E0" w:rsidP="000571E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УДК 631.8:631.559</w:t>
      </w:r>
    </w:p>
    <w:p w:rsidR="000571E0" w:rsidRDefault="000571E0" w:rsidP="000571E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0571E0" w:rsidRDefault="000571E0" w:rsidP="000571E0">
      <w:pPr>
        <w:pStyle w:val="2"/>
        <w:spacing w:before="0" w:after="0" w:line="240" w:lineRule="atLeast"/>
        <w:jc w:val="right"/>
        <w:rPr>
          <w:sz w:val="20"/>
          <w:szCs w:val="20"/>
        </w:rPr>
      </w:pPr>
      <w:bookmarkStart w:id="0" w:name="_Toc478645410"/>
      <w:r>
        <w:rPr>
          <w:sz w:val="20"/>
          <w:szCs w:val="20"/>
        </w:rPr>
        <w:t>Иванова А.В., Ефремов В.В.</w:t>
      </w:r>
      <w:bookmarkEnd w:id="0"/>
    </w:p>
    <w:p w:rsidR="000571E0" w:rsidRDefault="000571E0" w:rsidP="000571E0">
      <w:pPr>
        <w:pStyle w:val="2"/>
        <w:spacing w:before="0" w:after="0" w:line="240" w:lineRule="atLeast"/>
        <w:jc w:val="right"/>
        <w:rPr>
          <w:sz w:val="20"/>
          <w:szCs w:val="20"/>
          <w:lang w:val="ru-RU"/>
        </w:rPr>
      </w:pPr>
      <w:bookmarkStart w:id="1" w:name="_Toc478645411"/>
      <w:r>
        <w:rPr>
          <w:sz w:val="20"/>
          <w:szCs w:val="20"/>
        </w:rPr>
        <w:t>Марийский государственный университет, г. Йошкар-Ола</w:t>
      </w:r>
      <w:bookmarkStart w:id="2" w:name="_Toc478645412"/>
      <w:bookmarkEnd w:id="1"/>
    </w:p>
    <w:p w:rsidR="000571E0" w:rsidRDefault="000571E0" w:rsidP="000571E0">
      <w:pPr>
        <w:pStyle w:val="2"/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ВЛИЯНИЕ СЕРОСОДЕРЖАЩИХ УДОБРЕНИЙ НА УРОЖАЙНОСТЬ КЛУБНЕЙ КАРТОФЕЛЯ И ЗЕЛЕНОЙ МАССЫ ВИКООВСЯНОЙ СМЕСИ</w:t>
      </w:r>
      <w:bookmarkEnd w:id="2"/>
    </w:p>
    <w:p w:rsidR="000571E0" w:rsidRDefault="000571E0" w:rsidP="000571E0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571E0" w:rsidRDefault="004A3AF1" w:rsidP="000571E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Аннотация. </w:t>
      </w:r>
      <w:r w:rsidR="000571E0">
        <w:rPr>
          <w:rFonts w:ascii="Arial" w:eastAsia="Times New Roman" w:hAnsi="Arial" w:cs="Arial"/>
          <w:sz w:val="20"/>
          <w:szCs w:val="20"/>
          <w:lang w:eastAsia="ru-RU"/>
        </w:rPr>
        <w:t xml:space="preserve">Изучено влияние серосодержащих удобрений на урожайность клубней картофеля и зеленой массы викоовсяной смеси. Выявлено, что в условиях дерново-подзолистой почвы применение серосодержащих удобрений обеспечивало увеличение урожайности клубней картофеля и зеленой массы викоовсяной смеси. Наибольшая урожайность клубней картофеля была получена при применении серосодержащих удобрений в дозе 60 кг/га серы. </w:t>
      </w:r>
      <w:r w:rsidR="000571E0">
        <w:rPr>
          <w:rFonts w:ascii="Arial" w:hAnsi="Arial" w:cs="Arial"/>
          <w:sz w:val="20"/>
          <w:szCs w:val="20"/>
        </w:rPr>
        <w:t xml:space="preserve">Максимальная урожайность </w:t>
      </w:r>
      <w:r w:rsidR="000571E0">
        <w:rPr>
          <w:rFonts w:ascii="Arial" w:eastAsia="Times New Roman" w:hAnsi="Arial" w:cs="Arial"/>
          <w:sz w:val="20"/>
          <w:szCs w:val="20"/>
          <w:lang w:eastAsia="ru-RU"/>
        </w:rPr>
        <w:t xml:space="preserve">викоовсяной </w:t>
      </w:r>
      <w:r w:rsidR="000571E0">
        <w:rPr>
          <w:rFonts w:ascii="Arial" w:hAnsi="Arial" w:cs="Arial"/>
          <w:sz w:val="20"/>
          <w:szCs w:val="20"/>
        </w:rPr>
        <w:t>смеси была получена с дозой серы 40-60 кг/га.</w:t>
      </w:r>
    </w:p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Ключевые слова: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серосодержащие и минеральные удобрения, урожайность клубней картофеля и з</w:t>
      </w:r>
      <w:r>
        <w:rPr>
          <w:rFonts w:ascii="Arial" w:hAnsi="Arial" w:cs="Arial"/>
          <w:sz w:val="20"/>
          <w:szCs w:val="20"/>
        </w:rPr>
        <w:t>еленой массы викоовсяной смеси.</w:t>
      </w:r>
    </w:p>
    <w:p w:rsidR="000571E0" w:rsidRDefault="000571E0" w:rsidP="000571E0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_GoBack"/>
      <w:bookmarkEnd w:id="3"/>
    </w:p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Сера является одним из важнейших макроэлементов. Она входит в состав аминокислот и белков. Недостаток серы служит причиной снижения урожая и ухудшения качества сельскохозяйственных культур. В последние годы резко снизилось применение органических удобрений и серосодержащих минеральных удобрений </w:t>
      </w:r>
      <w:r>
        <w:rPr>
          <w:rFonts w:ascii="Arial" w:hAnsi="Arial" w:cs="Arial"/>
          <w:sz w:val="20"/>
          <w:szCs w:val="20"/>
        </w:rPr>
        <w:t>[5]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Данное обстоятельство приводит к дефициту серы в севообороте </w:t>
      </w:r>
      <w:r>
        <w:rPr>
          <w:rFonts w:ascii="Arial" w:hAnsi="Arial" w:cs="Arial"/>
          <w:sz w:val="20"/>
          <w:szCs w:val="20"/>
        </w:rPr>
        <w:t>[6]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Минеральное питание является одним из основных регулируемых факторов, используемых для целенаправленного управления ростом и развитием растений с целью создания высокого урожая хорошего качества </w:t>
      </w:r>
      <w:r>
        <w:rPr>
          <w:rFonts w:ascii="Arial" w:hAnsi="Arial" w:cs="Arial"/>
          <w:sz w:val="20"/>
          <w:szCs w:val="20"/>
        </w:rPr>
        <w:t>[3,4,5]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Введение серы в системы комплексного минерального питания растений способствует повышению эффективности применения других элементов и повышению урожаев сельскохозяйственных культур с оптимальным количеством белка, крахмала, сахара и других товарных показателей высококачественной продукции </w:t>
      </w:r>
      <w:r>
        <w:rPr>
          <w:rFonts w:ascii="Arial" w:hAnsi="Arial" w:cs="Arial"/>
          <w:sz w:val="20"/>
          <w:szCs w:val="20"/>
        </w:rPr>
        <w:t>[1]. Ц</w:t>
      </w:r>
      <w:r>
        <w:rPr>
          <w:rFonts w:ascii="Arial" w:eastAsia="Times New Roman" w:hAnsi="Arial" w:cs="Arial"/>
          <w:sz w:val="20"/>
          <w:szCs w:val="20"/>
          <w:lang w:eastAsia="ru-RU"/>
        </w:rPr>
        <w:t>елью данного исследования являлось</w:t>
      </w:r>
      <w:r>
        <w:rPr>
          <w:rFonts w:ascii="Arial" w:hAnsi="Arial" w:cs="Arial"/>
          <w:sz w:val="20"/>
          <w:szCs w:val="20"/>
        </w:rPr>
        <w:t xml:space="preserve"> изучение влияния серосодержащих удобрений на урожайность клубней картофеля и викоовсяной смеси.</w:t>
      </w:r>
    </w:p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Исследования проводили в 2013-2015 гг. на </w:t>
      </w:r>
      <w:proofErr w:type="spellStart"/>
      <w:r>
        <w:rPr>
          <w:rFonts w:ascii="Arial" w:hAnsi="Arial" w:cs="Arial"/>
          <w:sz w:val="20"/>
          <w:szCs w:val="20"/>
        </w:rPr>
        <w:t>агробиостанции</w:t>
      </w:r>
      <w:proofErr w:type="spellEnd"/>
      <w:r>
        <w:rPr>
          <w:rFonts w:ascii="Arial" w:hAnsi="Arial" w:cs="Arial"/>
          <w:sz w:val="20"/>
          <w:szCs w:val="20"/>
        </w:rPr>
        <w:t xml:space="preserve"> Марийского госуниверситета. </w:t>
      </w:r>
      <w:proofErr w:type="spellStart"/>
      <w:r>
        <w:rPr>
          <w:rFonts w:ascii="Arial" w:hAnsi="Arial" w:cs="Arial"/>
          <w:sz w:val="20"/>
          <w:szCs w:val="20"/>
        </w:rPr>
        <w:t>Микрополевой</w:t>
      </w:r>
      <w:proofErr w:type="spellEnd"/>
      <w:r>
        <w:rPr>
          <w:rFonts w:ascii="Arial" w:hAnsi="Arial" w:cs="Arial"/>
          <w:sz w:val="20"/>
          <w:szCs w:val="20"/>
        </w:rPr>
        <w:t xml:space="preserve"> опыт был заложен в четырехкратной повторности с систематическим размещением делянок. Учетная площадь делянки составляла </w:t>
      </w:r>
      <w:smartTag w:uri="urn:schemas-microsoft-com:office:smarttags" w:element="metricconverter">
        <w:smartTagPr>
          <w:attr w:name="ProductID" w:val="7 м2"/>
        </w:smartTagPr>
        <w:r>
          <w:rPr>
            <w:rFonts w:ascii="Arial" w:hAnsi="Arial" w:cs="Arial"/>
            <w:sz w:val="20"/>
            <w:szCs w:val="20"/>
          </w:rPr>
          <w:t>7 м</w:t>
        </w:r>
        <w:proofErr w:type="gramStart"/>
        <w:r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proofErr w:type="gramEnd"/>
      <w:r>
        <w:rPr>
          <w:rFonts w:ascii="Arial" w:hAnsi="Arial" w:cs="Arial"/>
          <w:sz w:val="20"/>
          <w:szCs w:val="20"/>
        </w:rPr>
        <w:t xml:space="preserve">. Схема опыта включала следующие варианты:1.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vertAlign w:val="subscript"/>
        </w:rPr>
        <w:t>90</w:t>
      </w:r>
      <w:r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30</w:t>
      </w:r>
      <w:r>
        <w:rPr>
          <w:rFonts w:ascii="Arial" w:hAnsi="Arial" w:cs="Arial"/>
          <w:sz w:val="20"/>
          <w:szCs w:val="20"/>
          <w:lang w:val="en-US"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120</w:t>
      </w:r>
      <w:r>
        <w:rPr>
          <w:rFonts w:ascii="Arial" w:hAnsi="Arial" w:cs="Arial"/>
          <w:sz w:val="20"/>
          <w:szCs w:val="20"/>
        </w:rPr>
        <w:t xml:space="preserve"> (фон); 2.</w:t>
      </w:r>
      <w:proofErr w:type="gramEnd"/>
      <w:r>
        <w:rPr>
          <w:rFonts w:ascii="Arial" w:hAnsi="Arial" w:cs="Arial"/>
          <w:sz w:val="20"/>
          <w:szCs w:val="20"/>
        </w:rPr>
        <w:t xml:space="preserve"> Фон + </w:t>
      </w:r>
      <w:r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vertAlign w:val="subscript"/>
        </w:rPr>
        <w:t>30</w:t>
      </w:r>
      <w:r>
        <w:rPr>
          <w:rFonts w:ascii="Arial" w:hAnsi="Arial" w:cs="Arial"/>
          <w:sz w:val="20"/>
          <w:szCs w:val="20"/>
        </w:rPr>
        <w:t xml:space="preserve"> (элементарная сера); 3. Фон + </w:t>
      </w:r>
      <w:r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vertAlign w:val="subscript"/>
        </w:rPr>
        <w:t>60</w:t>
      </w:r>
      <w:r>
        <w:rPr>
          <w:rFonts w:ascii="Arial" w:hAnsi="Arial" w:cs="Arial"/>
          <w:sz w:val="20"/>
          <w:szCs w:val="20"/>
        </w:rPr>
        <w:t xml:space="preserve"> (элементарная сера); 4. Фон + </w:t>
      </w:r>
      <w:r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vertAlign w:val="subscript"/>
        </w:rPr>
        <w:t>90</w:t>
      </w:r>
      <w:r>
        <w:rPr>
          <w:rFonts w:ascii="Arial" w:hAnsi="Arial" w:cs="Arial"/>
          <w:sz w:val="20"/>
          <w:szCs w:val="20"/>
        </w:rPr>
        <w:t xml:space="preserve"> (элементарная сера); 5. Фон + </w:t>
      </w:r>
      <w:r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vertAlign w:val="subscript"/>
        </w:rPr>
        <w:t xml:space="preserve">30 </w:t>
      </w:r>
      <w:r>
        <w:rPr>
          <w:rFonts w:ascii="Arial" w:hAnsi="Arial" w:cs="Arial"/>
          <w:sz w:val="20"/>
          <w:szCs w:val="20"/>
        </w:rPr>
        <w:t xml:space="preserve">(сульфат аммония); 6. Фон + </w:t>
      </w:r>
      <w:r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vertAlign w:val="subscript"/>
        </w:rPr>
        <w:t>60</w:t>
      </w:r>
      <w:r>
        <w:rPr>
          <w:rFonts w:ascii="Arial" w:hAnsi="Arial" w:cs="Arial"/>
          <w:sz w:val="20"/>
          <w:szCs w:val="20"/>
        </w:rPr>
        <w:t xml:space="preserve"> (сульфат аммония); 7. Фон + </w:t>
      </w:r>
      <w:r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vertAlign w:val="subscript"/>
        </w:rPr>
        <w:t>90</w:t>
      </w:r>
      <w:r>
        <w:rPr>
          <w:rFonts w:ascii="Arial" w:hAnsi="Arial" w:cs="Arial"/>
          <w:sz w:val="20"/>
          <w:szCs w:val="20"/>
        </w:rPr>
        <w:t xml:space="preserve"> (сульфат аммония). Минеральные удобрения вносили в виде – аммиачной селитры (34 % азота), хлористого калия (60 % калия), аммофоса (12 % </w:t>
      </w:r>
      <w:r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</w:rPr>
        <w:t xml:space="preserve">, 52 % </w:t>
      </w:r>
      <w:r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  <w:sz w:val="20"/>
          <w:szCs w:val="20"/>
        </w:rPr>
        <w:t>), сульфата аммония (21 % азота) и элементарной серы. Удобрения вносили согласно схеме опыта вручную и с расчетной дозой на 20 т/га клубней картофеля (</w:t>
      </w:r>
      <w:r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vertAlign w:val="subscript"/>
        </w:rPr>
        <w:t>90</w:t>
      </w:r>
      <w:r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30</w:t>
      </w:r>
      <w:r>
        <w:rPr>
          <w:rFonts w:ascii="Arial" w:hAnsi="Arial" w:cs="Arial"/>
          <w:sz w:val="20"/>
          <w:szCs w:val="20"/>
          <w:lang w:val="en-US"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120</w:t>
      </w:r>
      <w:r>
        <w:rPr>
          <w:rFonts w:ascii="Arial" w:hAnsi="Arial" w:cs="Arial"/>
          <w:sz w:val="20"/>
          <w:szCs w:val="20"/>
        </w:rPr>
        <w:t xml:space="preserve">). Изучаемая культура – картофель сорта Удача. Почвенный покров опытного участка представлен </w:t>
      </w:r>
      <w:proofErr w:type="spellStart"/>
      <w:r>
        <w:rPr>
          <w:rFonts w:ascii="Arial" w:hAnsi="Arial" w:cs="Arial"/>
          <w:sz w:val="20"/>
          <w:szCs w:val="20"/>
        </w:rPr>
        <w:t>малогумусной</w:t>
      </w:r>
      <w:proofErr w:type="spellEnd"/>
      <w:r>
        <w:rPr>
          <w:rFonts w:ascii="Arial" w:hAnsi="Arial" w:cs="Arial"/>
          <w:sz w:val="20"/>
          <w:szCs w:val="20"/>
        </w:rPr>
        <w:t xml:space="preserve">, дерново-среднеподзолистой, среднесуглинистой на </w:t>
      </w:r>
      <w:proofErr w:type="spellStart"/>
      <w:r>
        <w:rPr>
          <w:rFonts w:ascii="Arial" w:hAnsi="Arial" w:cs="Arial"/>
          <w:sz w:val="20"/>
          <w:szCs w:val="20"/>
        </w:rPr>
        <w:t>опесчаненом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бескарбонатном</w:t>
      </w:r>
      <w:proofErr w:type="spellEnd"/>
      <w:r>
        <w:rPr>
          <w:rFonts w:ascii="Arial" w:hAnsi="Arial" w:cs="Arial"/>
          <w:sz w:val="20"/>
          <w:szCs w:val="20"/>
        </w:rPr>
        <w:t xml:space="preserve"> покровном среднем суглинке почвой. Агрохимические показатели почвы при закладке опыта были следующие: содержание гумуса 1,9 %; </w:t>
      </w:r>
      <w:proofErr w:type="spellStart"/>
      <w:r>
        <w:rPr>
          <w:rFonts w:ascii="Arial" w:hAnsi="Arial" w:cs="Arial"/>
          <w:sz w:val="20"/>
          <w:szCs w:val="20"/>
        </w:rPr>
        <w:t>рН</w:t>
      </w:r>
      <w:r>
        <w:rPr>
          <w:rFonts w:ascii="Arial" w:hAnsi="Arial" w:cs="Arial"/>
          <w:sz w:val="20"/>
          <w:szCs w:val="20"/>
          <w:vertAlign w:val="subscript"/>
        </w:rPr>
        <w:t>сол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>.</w:t>
      </w:r>
      <w:r>
        <w:rPr>
          <w:rFonts w:ascii="Arial" w:hAnsi="Arial" w:cs="Arial"/>
          <w:sz w:val="20"/>
          <w:szCs w:val="20"/>
        </w:rPr>
        <w:t xml:space="preserve"> - 6,2; Р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  <w:sz w:val="20"/>
          <w:szCs w:val="20"/>
        </w:rPr>
        <w:t xml:space="preserve"> – 21,7 мг/100 г; К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О -16,3 мг/100 г; </w:t>
      </w:r>
      <w:r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</w:rPr>
        <w:t xml:space="preserve"> - 11,0 мг/100г. Агрохимические анализы почвы и растений определяли методами, рекомендованными для зоны. Статистическую обработку результатов исследований проводили методом дисперсионного анализа [2].</w:t>
      </w:r>
    </w:p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Влияние серного удобрения на урожайность зеленой массы викоовсяной смеси изучали в полевом опыте, который был заложен в 2014 году на опытном поле Марийского государственного университета, расположенного на территории Марийского аграрного колледжа, в трехкратной повторности с систематическим размещением делянок. В представленной работе приводятся данные за 2014 и 2016 годы. Схема опыта: 1. N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30</w:t>
      </w:r>
      <w:r>
        <w:rPr>
          <w:rFonts w:ascii="Arial" w:hAnsi="Arial" w:cs="Arial"/>
          <w:sz w:val="20"/>
          <w:szCs w:val="20"/>
        </w:rPr>
        <w:t xml:space="preserve">  (фон); 2. Фон + S</w:t>
      </w:r>
      <w:r>
        <w:rPr>
          <w:rFonts w:ascii="Arial" w:hAnsi="Arial" w:cs="Arial"/>
          <w:sz w:val="20"/>
          <w:szCs w:val="20"/>
          <w:vertAlign w:val="subscript"/>
        </w:rPr>
        <w:t>20</w:t>
      </w:r>
      <w:r>
        <w:rPr>
          <w:rFonts w:ascii="Arial" w:hAnsi="Arial" w:cs="Arial"/>
          <w:sz w:val="20"/>
          <w:szCs w:val="20"/>
        </w:rPr>
        <w:t xml:space="preserve"> (элементарная сера); 3. Фон + S</w:t>
      </w:r>
      <w:r>
        <w:rPr>
          <w:rFonts w:ascii="Arial" w:hAnsi="Arial" w:cs="Arial"/>
          <w:sz w:val="20"/>
          <w:szCs w:val="20"/>
          <w:vertAlign w:val="subscript"/>
        </w:rPr>
        <w:t>40</w:t>
      </w:r>
      <w:r>
        <w:rPr>
          <w:rFonts w:ascii="Arial" w:hAnsi="Arial" w:cs="Arial"/>
          <w:sz w:val="20"/>
          <w:szCs w:val="20"/>
        </w:rPr>
        <w:t xml:space="preserve"> (элементарная сера); 4. Фон + S</w:t>
      </w:r>
      <w:r>
        <w:rPr>
          <w:rFonts w:ascii="Arial" w:hAnsi="Arial" w:cs="Arial"/>
          <w:sz w:val="20"/>
          <w:szCs w:val="20"/>
          <w:vertAlign w:val="subscript"/>
        </w:rPr>
        <w:t>60</w:t>
      </w:r>
      <w:r>
        <w:rPr>
          <w:rFonts w:ascii="Arial" w:hAnsi="Arial" w:cs="Arial"/>
          <w:sz w:val="20"/>
          <w:szCs w:val="20"/>
        </w:rPr>
        <w:t xml:space="preserve"> (элементарная сера). Общая площадь делянки – </w:t>
      </w:r>
      <w:smartTag w:uri="urn:schemas-microsoft-com:office:smarttags" w:element="metricconverter">
        <w:smartTagPr>
          <w:attr w:name="ProductID" w:val="90 м2"/>
        </w:smartTagPr>
        <w:r>
          <w:rPr>
            <w:rFonts w:ascii="Arial" w:hAnsi="Arial" w:cs="Arial"/>
            <w:sz w:val="20"/>
            <w:szCs w:val="20"/>
          </w:rPr>
          <w:t>90 м</w:t>
        </w:r>
        <w:proofErr w:type="gramStart"/>
        <w:r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proofErr w:type="gramEnd"/>
      <w:r>
        <w:rPr>
          <w:rFonts w:ascii="Arial" w:hAnsi="Arial" w:cs="Arial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Arial" w:hAnsi="Arial" w:cs="Arial"/>
            <w:sz w:val="20"/>
            <w:szCs w:val="20"/>
          </w:rPr>
          <w:t>6 м</w:t>
        </w:r>
      </w:smartTag>
      <w:r>
        <w:rPr>
          <w:rFonts w:ascii="Arial" w:hAnsi="Arial" w:cs="Arial"/>
          <w:sz w:val="20"/>
          <w:szCs w:val="20"/>
        </w:rPr>
        <w:t xml:space="preserve"> ×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Arial" w:hAnsi="Arial" w:cs="Arial"/>
            <w:sz w:val="20"/>
            <w:szCs w:val="20"/>
          </w:rPr>
          <w:t>15 м</w:t>
        </w:r>
      </w:smartTag>
      <w:r>
        <w:rPr>
          <w:rFonts w:ascii="Arial" w:hAnsi="Arial" w:cs="Arial"/>
          <w:sz w:val="20"/>
          <w:szCs w:val="20"/>
        </w:rPr>
        <w:t xml:space="preserve">), учётная – </w:t>
      </w:r>
      <w:smartTag w:uri="urn:schemas-microsoft-com:office:smarttags" w:element="metricconverter">
        <w:smartTagPr>
          <w:attr w:name="ProductID" w:val="50 м2"/>
        </w:smartTagPr>
        <w:r>
          <w:rPr>
            <w:rFonts w:ascii="Arial" w:hAnsi="Arial" w:cs="Arial"/>
            <w:sz w:val="20"/>
            <w:szCs w:val="20"/>
          </w:rPr>
          <w:t>50 м</w:t>
        </w:r>
        <w:r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>
        <w:rPr>
          <w:rFonts w:ascii="Arial" w:hAnsi="Arial" w:cs="Arial"/>
          <w:sz w:val="20"/>
          <w:szCs w:val="20"/>
        </w:rPr>
        <w:t>. Минеральные удобрения вносили в виде хлористого калия (60 % К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О) и элементарной серы. Удобрения вносили согласно схеме опыта вручную перед посевом и с расчетной дозой на 15 т/га зеленой массы (N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30</w:t>
      </w:r>
      <w:r>
        <w:rPr>
          <w:rFonts w:ascii="Arial" w:hAnsi="Arial" w:cs="Arial"/>
          <w:sz w:val="20"/>
          <w:szCs w:val="20"/>
        </w:rPr>
        <w:t xml:space="preserve">). Уборку урожая проводили в фазу цветения вики сплошным методом. </w:t>
      </w:r>
    </w:p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Проведенные исследования показали, что погодные условия в годы исследований были благоприятными для возделывания картофеля. Учет урожайности показал, что изучаемые факторы влияли на урожайность картофеля. В 2013, 2014 и 2015 годах минимальная урожайность была получена на контрольных вариантах (табл. 1). Применение серосодержащих удобрений обеспечило увеличение урожайности клубней картофеля. Однако их эффективность зависела от применяемой дозы и формы удобрения. Результаты исследований 2013 года показали, что при </w:t>
      </w:r>
      <w:r>
        <w:rPr>
          <w:rFonts w:ascii="Arial" w:hAnsi="Arial" w:cs="Arial"/>
          <w:sz w:val="20"/>
          <w:szCs w:val="20"/>
        </w:rPr>
        <w:lastRenderedPageBreak/>
        <w:t xml:space="preserve">внесении серы в виде сульфата аммония были получены достоверные прибавки урожая клубней картофеля на всех вариантах. Наибольшая прибавка урожая 7,1 т/га была при внесении серы из расчета 60 кг/га в виде сульфата аммония. Использование элементарной серы было менее эффективно. Достоверная прибавка урожая была получена только на варианте с внесением серы в дозе 60 кг/га. </w:t>
      </w:r>
    </w:p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0571E0" w:rsidRDefault="000571E0" w:rsidP="00A02066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 – Влияние серосодержащих удобрений на урожайность клубней картофеля, т/га</w:t>
      </w:r>
    </w:p>
    <w:p w:rsidR="000571E0" w:rsidRDefault="000571E0" w:rsidP="000571E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990"/>
        <w:gridCol w:w="1417"/>
        <w:gridCol w:w="1134"/>
        <w:gridCol w:w="991"/>
        <w:gridCol w:w="1134"/>
      </w:tblGrid>
      <w:tr w:rsidR="000571E0" w:rsidTr="000571E0">
        <w:trPr>
          <w:trHeight w:val="18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№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Вариант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ind w:right="-108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kern w:val="24"/>
                  <w:sz w:val="20"/>
                  <w:szCs w:val="20"/>
                </w:rPr>
                <w:t>2013 г</w:t>
              </w:r>
            </w:smartTag>
            <w:r>
              <w:rPr>
                <w:rFonts w:ascii="Arial" w:hAnsi="Arial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spacing w:after="0" w:line="240" w:lineRule="auto"/>
              <w:ind w:right="-108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kern w:val="24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spacing w:after="0" w:line="240" w:lineRule="auto"/>
              <w:ind w:right="-108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kern w:val="24"/>
                  <w:sz w:val="20"/>
                  <w:szCs w:val="20"/>
                </w:rPr>
                <w:t>2015 г</w:t>
              </w:r>
            </w:smartTag>
            <w:r>
              <w:rPr>
                <w:rFonts w:ascii="Arial" w:hAnsi="Arial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spacing w:after="0" w:line="240" w:lineRule="auto"/>
              <w:ind w:right="-108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Среднее </w:t>
            </w:r>
          </w:p>
        </w:tc>
      </w:tr>
      <w:tr w:rsidR="000571E0" w:rsidTr="000571E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ind w:right="-108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N90P30K120 (фон)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27,7</w:t>
            </w:r>
          </w:p>
        </w:tc>
      </w:tr>
      <w:tr w:rsidR="000571E0" w:rsidTr="000571E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ind w:right="-108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Фон + S30(элементарная сера)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29,1</w:t>
            </w:r>
          </w:p>
        </w:tc>
      </w:tr>
      <w:tr w:rsidR="000571E0" w:rsidTr="000571E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ind w:right="-108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Фон + S60(элементарная сера)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32,1</w:t>
            </w:r>
          </w:p>
        </w:tc>
      </w:tr>
      <w:tr w:rsidR="000571E0" w:rsidTr="000571E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ind w:right="-108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Фон + S90(элементарная сера)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32,2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30,4</w:t>
            </w:r>
          </w:p>
        </w:tc>
      </w:tr>
      <w:tr w:rsidR="000571E0" w:rsidTr="000571E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ind w:right="-108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Фон + S30(сульфат аммония)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31,8</w:t>
            </w:r>
          </w:p>
        </w:tc>
      </w:tr>
      <w:tr w:rsidR="000571E0" w:rsidTr="000571E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ind w:right="-108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Фон + S60(сульфат аммония)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34,1</w:t>
            </w:r>
          </w:p>
        </w:tc>
      </w:tr>
      <w:tr w:rsidR="000571E0" w:rsidTr="000571E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ind w:right="-108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Фон + S90(сульфат аммония)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32,2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31,5</w:t>
            </w:r>
          </w:p>
        </w:tc>
      </w:tr>
      <w:tr w:rsidR="000571E0" w:rsidTr="000571E0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НСР05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390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0,1</w:t>
            </w:r>
          </w:p>
        </w:tc>
      </w:tr>
    </w:tbl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2014 году эффективность серных удобрений была несколько иной. На всех вариантах с внесением элементарной серы было выявлено повышение урожайности клубней картофеля. Наибольшие прибавки урожая клубней картофеля были при внесении серы в виде сульфата аммония и составили 1,9-4,1 т/га. При внесении элементарной серы прибавки урожая составили 0,1-2,9 т/га. В 2015 году при внесении элементарной серы в дозе из расчета 60 кг/га урожайность клубней возросла на 5,9 т/га и составила 34,8 т/га. При внесении серы в виде сульфата аммония в дозе из расчета 60 кг/га урожайность клубней возросла на 7,9 т/га и составила 36,8 т/га. </w:t>
      </w:r>
      <w:r>
        <w:rPr>
          <w:rFonts w:ascii="Arial" w:hAnsi="Arial" w:cs="Arial"/>
          <w:spacing w:val="6"/>
          <w:sz w:val="20"/>
          <w:szCs w:val="20"/>
        </w:rPr>
        <w:t>В среднем за три года при внесении элементарной серы в дозе 60 кг/га урожайность клубней возросла на 4,4 т/га и составила 32,1 т/га. При внесении доз серы 30 и 90 кг/га увеличения урожайности клубней картофеля не наблюдалось. При внесении серы в виде сульфата аммония в дозе 60 кг/га урожайность клубней возросла на 6,4 т/га и составила 34,1 т/га. С увеличением дозы серы существенных прибавок в урожайности не выявлено.</w:t>
      </w:r>
      <w:r>
        <w:rPr>
          <w:rFonts w:ascii="Arial" w:hAnsi="Arial" w:cs="Arial"/>
          <w:sz w:val="20"/>
          <w:szCs w:val="20"/>
        </w:rPr>
        <w:t xml:space="preserve"> Применение серосодержащих удобрений положительно сказалось на качестве клубней картофеля. С увеличением дозы серного удобрения повышалось содержание крахмала и сухого вещества в клубнях картофеля. Влияние доз серного удобрения на содержание нитратов в клубнях картофеля в годы исследования было несущественным.</w:t>
      </w:r>
    </w:p>
    <w:p w:rsidR="000571E0" w:rsidRDefault="000571E0" w:rsidP="000571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 урожая зеленой массы викоовсяной смеси показал, что применение серного удобрения обеспечило получение достоверной прибавки урожайности зелёной массы (табл. 2).</w:t>
      </w:r>
    </w:p>
    <w:p w:rsidR="000571E0" w:rsidRDefault="000571E0" w:rsidP="000571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0571E0" w:rsidRDefault="000571E0" w:rsidP="000571E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 – Влияние серного удобрения на урожайность зеленой массы викоовсяной смеси, т/га</w:t>
      </w:r>
    </w:p>
    <w:p w:rsidR="000571E0" w:rsidRDefault="000571E0" w:rsidP="000571E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200" w:vertAnchor="text" w:horzAnchor="page" w:tblpX="1821" w:tblpY="56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04"/>
        <w:gridCol w:w="1951"/>
        <w:gridCol w:w="1986"/>
        <w:gridCol w:w="2270"/>
      </w:tblGrid>
      <w:tr w:rsidR="000571E0" w:rsidTr="000571E0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№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Вариант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</w:t>
            </w:r>
          </w:p>
        </w:tc>
      </w:tr>
      <w:tr w:rsidR="000571E0" w:rsidTr="000571E0">
        <w:trPr>
          <w:trHeight w:val="1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0571E0" w:rsidTr="000571E0">
        <w:trPr>
          <w:trHeight w:val="2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 +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</w:t>
            </w:r>
          </w:p>
        </w:tc>
      </w:tr>
      <w:tr w:rsidR="000571E0" w:rsidTr="000571E0">
        <w:trPr>
          <w:trHeight w:val="2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 +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</w:t>
            </w:r>
          </w:p>
        </w:tc>
      </w:tr>
      <w:tr w:rsidR="000571E0" w:rsidTr="000571E0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 +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0571E0" w:rsidTr="000571E0">
        <w:trPr>
          <w:trHeight w:val="31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НСР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1E0" w:rsidRDefault="000571E0">
            <w:pPr>
              <w:tabs>
                <w:tab w:val="left" w:pos="20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</w:tbl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увеличением дозы элементарной серы увеличивалась урожайность зеленой массы викоовсяной смеси. Наибольшая достоверная урожайность в 2014 году была получена с дозой серы 40 кг/га и составила 19,6 т/га, где прибавка составила 1,3 т/га. При дозе серы 20 и 60 кг/га урожайность зеленой массы повысилась соответственно на 0,5 и 1,8 кг/га. В 2016 году сложились наиболее благоприятные погодные условия для викоовсяной смеси, и были получены иные результаты. Применение элементарной серы увеличило урожайность зеленой массы викоовсяной смеси с 18,6 т/га до 22,6 т/га. Более достоверное увеличение урожайности дало применение серы с дозой 40 кг/га и составило 22,2 т/га. По результатам двух лет выявлено, что достоверную прибавку дало применение серного удобрения с дозой серы 40 и 60 кг/га. Урожайность зелёной массы викоовсяной смеси повысилась на 1,2– 2,8 т/га и составила 19,7 -21,3 т/га. А с дозой серы 20 кг/га достоверной прибавки по урожайности зелёной массы викоовсяной смеси не получено. В данном опыте оптимальной дозой серы можно считать 40 кг/га.</w:t>
      </w:r>
    </w:p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>Проведенные исследования показали, что при внесении элементарной серы в дозе 60 кг/га урожайность клубней картофеля возросла на 4,4 т/га, а при внесении серы в виде сульфата аммония в дозе 60 кг/га урожайность клубней картофеля возросла на 6,4 т/га.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Применение серосодержащих удобрений положительно сказалось на качестве клубней картофеля. Применение серного удобрения обеспечило получение достоверной прибавки урожайности зелёной массы викоовсяной смеси с дозой серы 40 кг/га.</w:t>
      </w:r>
    </w:p>
    <w:p w:rsidR="000571E0" w:rsidRDefault="000571E0" w:rsidP="000571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0571E0" w:rsidRDefault="000571E0" w:rsidP="000571E0">
      <w:pPr>
        <w:tabs>
          <w:tab w:val="left" w:pos="34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Список литературы</w:t>
      </w:r>
    </w:p>
    <w:p w:rsidR="000571E0" w:rsidRDefault="000571E0" w:rsidP="000571E0">
      <w:pPr>
        <w:tabs>
          <w:tab w:val="left" w:pos="342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0571E0" w:rsidRDefault="0015768F" w:rsidP="000571E0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Аристархов, А.Н. Агрохимия серы / А.</w:t>
      </w:r>
      <w:r w:rsidR="000571E0">
        <w:rPr>
          <w:rFonts w:ascii="Arial" w:hAnsi="Arial" w:cs="Arial"/>
          <w:sz w:val="18"/>
          <w:szCs w:val="18"/>
        </w:rPr>
        <w:t>Н. Аристархов. – МОСКВА: ВНИИА, 2007. - 272 с.</w:t>
      </w:r>
    </w:p>
    <w:p w:rsidR="000571E0" w:rsidRDefault="000571E0" w:rsidP="000571E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</w:rPr>
        <w:t>Доспехов, Б.</w:t>
      </w:r>
      <w:r w:rsidR="0015768F">
        <w:rPr>
          <w:rFonts w:ascii="Arial" w:eastAsia="TimesNewRomanPSMT" w:hAnsi="Arial" w:cs="Arial"/>
          <w:sz w:val="18"/>
          <w:szCs w:val="18"/>
        </w:rPr>
        <w:t>А. Методика полевого опыта / Б.</w:t>
      </w:r>
      <w:r>
        <w:rPr>
          <w:rFonts w:ascii="Arial" w:eastAsia="TimesNewRomanPSMT" w:hAnsi="Arial" w:cs="Arial"/>
          <w:sz w:val="18"/>
          <w:szCs w:val="18"/>
        </w:rPr>
        <w:t>А. Доспехов. – МОСКВА: Колос, 1985. – 351 с.</w:t>
      </w:r>
    </w:p>
    <w:p w:rsidR="000571E0" w:rsidRDefault="000571E0" w:rsidP="000571E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Новоселов, С.И. Эффективность использования биологического азота в земледелии Нечерноземья / С.И. Новоселов, Е.С. Новоселова, А.А. Завалин. - Йошкар-Ола, 2012. - 150с.</w:t>
      </w:r>
    </w:p>
    <w:p w:rsidR="000571E0" w:rsidRDefault="000571E0" w:rsidP="000571E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Новоселов, С.И. Пути сохранения плодородия почв и повышения продуктивности </w:t>
      </w:r>
      <w:proofErr w:type="spellStart"/>
      <w:r>
        <w:rPr>
          <w:rFonts w:ascii="Arial" w:hAnsi="Arial" w:cs="Arial"/>
          <w:sz w:val="18"/>
          <w:szCs w:val="18"/>
        </w:rPr>
        <w:t>агроценозов</w:t>
      </w:r>
      <w:proofErr w:type="spellEnd"/>
      <w:r w:rsidR="0015768F">
        <w:rPr>
          <w:rFonts w:ascii="Arial" w:hAnsi="Arial" w:cs="Arial"/>
          <w:sz w:val="18"/>
          <w:szCs w:val="18"/>
        </w:rPr>
        <w:t xml:space="preserve"> в земледелии Нечерноземья / С.</w:t>
      </w:r>
      <w:r>
        <w:rPr>
          <w:rFonts w:ascii="Arial" w:hAnsi="Arial" w:cs="Arial"/>
          <w:sz w:val="18"/>
          <w:szCs w:val="18"/>
        </w:rPr>
        <w:t xml:space="preserve">И. Новоселов // Плодородие. – 2011. </w:t>
      </w:r>
      <w:r>
        <w:rPr>
          <w:rFonts w:ascii="Arial" w:eastAsia="TimesNewRomanPSMT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№2.</w:t>
      </w:r>
      <w:r>
        <w:rPr>
          <w:rFonts w:ascii="Arial" w:eastAsia="TimesNewRomanPSMT" w:hAnsi="Arial" w:cs="Arial"/>
          <w:sz w:val="18"/>
          <w:szCs w:val="18"/>
        </w:rPr>
        <w:t xml:space="preserve"> –</w:t>
      </w:r>
      <w:r>
        <w:rPr>
          <w:rFonts w:ascii="Arial" w:hAnsi="Arial" w:cs="Arial"/>
          <w:sz w:val="18"/>
          <w:szCs w:val="18"/>
        </w:rPr>
        <w:t xml:space="preserve"> С. 34</w:t>
      </w:r>
      <w:r>
        <w:rPr>
          <w:rFonts w:ascii="Arial" w:eastAsia="TimesNewRomanPSMT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36.</w:t>
      </w:r>
    </w:p>
    <w:p w:rsidR="000571E0" w:rsidRDefault="000571E0" w:rsidP="000571E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Новоселов, С.И. Эффективность минеральных удобрений в севооборотах с различными видами паров / С.И. Новоселов, И.Г. Хлебников, С.А. Горохов // Плодородие.</w:t>
      </w:r>
      <w:r>
        <w:rPr>
          <w:rFonts w:ascii="Arial" w:eastAsia="TimesNewRomanPSMT" w:hAnsi="Arial" w:cs="Arial"/>
          <w:sz w:val="18"/>
          <w:szCs w:val="18"/>
        </w:rPr>
        <w:t xml:space="preserve"> –</w:t>
      </w:r>
      <w:r>
        <w:rPr>
          <w:rFonts w:ascii="Arial" w:hAnsi="Arial" w:cs="Arial"/>
          <w:sz w:val="18"/>
          <w:szCs w:val="18"/>
        </w:rPr>
        <w:t xml:space="preserve"> 2011. </w:t>
      </w:r>
      <w:r>
        <w:rPr>
          <w:rFonts w:ascii="Arial" w:eastAsia="TimesNewRomanPSMT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№5 (62). </w:t>
      </w:r>
      <w:r>
        <w:rPr>
          <w:rFonts w:ascii="Arial" w:eastAsia="TimesNewRomanPSMT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С. 21</w:t>
      </w:r>
      <w:r>
        <w:rPr>
          <w:rFonts w:ascii="Arial" w:eastAsia="TimesNewRomanPSMT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22.</w:t>
      </w:r>
    </w:p>
    <w:p w:rsidR="000571E0" w:rsidRDefault="000571E0" w:rsidP="000571E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Сулейманов, И.Р. Агрохимическая оценка эффективности применения серосодержащих удобрений на серой лесной почве </w:t>
      </w:r>
      <w:proofErr w:type="spellStart"/>
      <w:r>
        <w:rPr>
          <w:rFonts w:ascii="Arial" w:hAnsi="Arial" w:cs="Arial"/>
          <w:sz w:val="18"/>
          <w:szCs w:val="18"/>
        </w:rPr>
        <w:t>Предволжья</w:t>
      </w:r>
      <w:proofErr w:type="spellEnd"/>
      <w:r>
        <w:rPr>
          <w:rFonts w:ascii="Arial" w:hAnsi="Arial" w:cs="Arial"/>
          <w:sz w:val="18"/>
          <w:szCs w:val="18"/>
        </w:rPr>
        <w:t xml:space="preserve"> Республики Татарстан</w:t>
      </w:r>
      <w:proofErr w:type="gramStart"/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дис</w:t>
      </w:r>
      <w:proofErr w:type="spellEnd"/>
      <w:r>
        <w:rPr>
          <w:rFonts w:ascii="Arial" w:hAnsi="Arial" w:cs="Arial"/>
          <w:sz w:val="18"/>
          <w:szCs w:val="18"/>
        </w:rPr>
        <w:t>… канд. с-х. наук / И. Р. Сулейманов. – Казань, 2011. – 247 с.</w:t>
      </w:r>
    </w:p>
    <w:p w:rsidR="00D02498" w:rsidRDefault="00D02498"/>
    <w:sectPr w:rsidR="00D0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717"/>
    <w:multiLevelType w:val="hybridMultilevel"/>
    <w:tmpl w:val="63A65EE0"/>
    <w:lvl w:ilvl="0" w:tplc="728E43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2A"/>
    <w:rsid w:val="000571E0"/>
    <w:rsid w:val="0015768F"/>
    <w:rsid w:val="0025572A"/>
    <w:rsid w:val="004A3AF1"/>
    <w:rsid w:val="00A02066"/>
    <w:rsid w:val="00D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E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E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71E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E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E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71E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1436</Words>
  <Characters>8189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Смоленцев Сергей Юрьевич</cp:lastModifiedBy>
  <cp:revision>5</cp:revision>
  <dcterms:created xsi:type="dcterms:W3CDTF">2017-12-23T12:56:00Z</dcterms:created>
  <dcterms:modified xsi:type="dcterms:W3CDTF">2019-12-03T04:50:00Z</dcterms:modified>
</cp:coreProperties>
</file>